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5F_x0000_i157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_x005F_x0000_i1577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37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37"/>
        <w:jc w:val="center"/>
        <w:spacing w:before="0"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ЖИЛИЩНО-КОММУНАЛЬНОГО ХОЗЯЙСТВА</w:t>
      </w:r>
      <w:r>
        <w:rPr>
          <w:b/>
          <w:bCs/>
        </w:rPr>
      </w:r>
    </w:p>
    <w:p>
      <w:pPr>
        <w:pStyle w:val="637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ЭНЕРГЕТИКИ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37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7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37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85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266"/>
        <w:gridCol w:w="3276"/>
        <w:gridCol w:w="3315"/>
      </w:tblGrid>
      <w:tr>
        <w:tblPrEx/>
        <w:trPr/>
        <w:tc>
          <w:tcPr>
            <w:tcW w:w="3266" w:type="dxa"/>
            <w:textDirection w:val="lrTb"/>
            <w:noWrap w:val="false"/>
          </w:tcPr>
          <w:p>
            <w:pPr>
              <w:pStyle w:val="637"/>
              <w:jc w:val="lef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76" w:type="dxa"/>
            <w:textDirection w:val="lrTb"/>
            <w:noWrap w:val="false"/>
          </w:tcPr>
          <w:p>
            <w:pPr>
              <w:pStyle w:val="637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pStyle w:val="637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                      № 260-НПА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W w:w="3266" w:type="dxa"/>
            <w:textDirection w:val="lrTb"/>
            <w:noWrap w:val="false"/>
          </w:tcPr>
          <w:p>
            <w:pPr>
              <w:pStyle w:val="637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W w:w="3276" w:type="dxa"/>
            <w:textDirection w:val="lrTb"/>
            <w:noWrap w:val="false"/>
          </w:tcPr>
          <w:p>
            <w:pPr>
              <w:pStyle w:val="637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г. Новосибирск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315" w:type="dxa"/>
            <w:textDirection w:val="lrTb"/>
            <w:noWrap w:val="false"/>
          </w:tcPr>
          <w:p>
            <w:pPr>
              <w:pStyle w:val="637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</w:tbl>
    <w:p>
      <w:pPr>
        <w:pStyle w:val="637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7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7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уполномоченных лиц на подписание акта, подтверждающего ввод объекта зарядной инфраструктуры в эксплуатацию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37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7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реализации Решения о порядке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ления субсидии инвесторам на компенсацию части затрат на приобретение электрозарядных станций постоянного тока, а также на их технологическое присоединение к электрическим сетям, утвержденного решением Минпромторга России от 30.07.2025 № 25-68767-02154-Р,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 р и к а з ы в а ю:</w:t>
      </w:r>
      <w:r>
        <w:rPr>
          <w:rFonts w:ascii="Times New Roman" w:hAnsi="Times New Roman" w:cs="Times New Roman"/>
          <w14:ligatures w14:val="none"/>
        </w:rPr>
      </w:r>
    </w:p>
    <w:p>
      <w:pPr>
        <w:pStyle w:val="637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 Назначить уполномоченными лицами на подписание акта, подтверждающего ввод объекта зарядной инфраструктуры в эксплуатацию, по форме, рекомендованной письмом Минпромторга России от 29.08.2025 № АА-96792/21, следующих сотрудников: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37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Афанасьеву Елену Михайловну – начальника отдела энергетики и газификации управления систем жизнеобеспечения министерства жилищно-коммунального хозяйства и энергетики Новосибирской области;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37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Сапожкова Дмитрия Константиновича – заместителя начальника отдела энергетики и газификации управления систем жизнеобеспечения министерства жилищно-коммунального хозяйства и энергетики Новосибирской области;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37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Сивкова Илью Евгеньевича – консультанта отдела энергетики и газификации управления систем жизнеобеспечения министерства жилищно-коммунального хозяйства и энергетики Новосибирской области.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37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2. Контроль за исполнением настоящего приказа оставляю за собой.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37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37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37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37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Исполняющий обязанности министра</w:t>
        <w:tab/>
        <w:tab/>
        <w:tab/>
        <w:tab/>
        <w:tab/>
        <w:t xml:space="preserve">       Е.Г. Назаров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37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" behindDoc="0" locked="0" layoutInCell="1" allowOverlap="1">
                <wp:simplePos x="0" y="0"/>
                <wp:positionH relativeFrom="page">
                  <wp:posOffset>3110865</wp:posOffset>
                </wp:positionH>
                <wp:positionV relativeFrom="page">
                  <wp:posOffset>8653875</wp:posOffset>
                </wp:positionV>
                <wp:extent cx="3251200" cy="1368330"/>
                <wp:effectExtent l="0" t="0" r="0" b="0"/>
                <wp:wrapNone/>
                <wp:docPr id="2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7420665" name="Image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3251199" cy="1368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4;o:allowoverlap:true;o:allowincell:true;mso-position-horizontal-relative:page;margin-left:244.95pt;mso-position-horizontal:absolute;mso-position-vertical-relative:page;margin-top:681.41pt;mso-position-vertical:absolute;width:256.00pt;height:107.74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37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37"/>
        <w:spacing w:before="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37"/>
        <w:spacing w:before="0"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637"/>
        <w:spacing w:before="0"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637"/>
        <w:spacing w:before="0"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637"/>
        <w:spacing w:before="0"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637"/>
        <w:spacing w:before="0"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И.Е. Сивков</w:t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637"/>
        <w:spacing w:before="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238-40-14</w:t>
      </w:r>
      <w:r>
        <w:rPr>
          <w:rFonts w:ascii="Times New Roman" w:hAnsi="Times New Roman"/>
          <w:sz w:val="20"/>
          <w:szCs w:val="20"/>
        </w:rPr>
      </w:r>
    </w:p>
    <w:p>
      <w:pPr>
        <w:pStyle w:val="637"/>
        <w:spacing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637"/>
        <w:spacing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СОГЛАСОВАНО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tbl>
      <w:tblPr>
        <w:tblW w:w="9498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2125"/>
        <w:gridCol w:w="2553"/>
      </w:tblGrid>
      <w:tr>
        <w:tblPrEx/>
        <w:trPr/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pStyle w:val="637"/>
              <w:spacing w:before="0" w:after="0" w:afterAutospacing="0"/>
            </w:pPr>
            <w:r/>
            <w:r/>
          </w:p>
          <w:p>
            <w:pPr>
              <w:pStyle w:val="637"/>
              <w:spacing w:before="0" w:after="0" w:afterAutospacing="0"/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управления систем жизнеобеспечения МЖКХиЭ НСО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pStyle w:val="637"/>
              <w:ind w:left="34"/>
              <w:spacing w:before="0"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3" w:type="dxa"/>
            <w:vAlign w:val="bottom"/>
            <w:textDirection w:val="lrTb"/>
            <w:noWrap w:val="false"/>
          </w:tcPr>
          <w:p>
            <w:pPr>
              <w:pStyle w:val="637"/>
              <w:ind w:left="34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М.Н. Медведев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pStyle w:val="637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энергетики и газификации управления систем жизнеобеспечения МЖКХиЭ НСО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pStyle w:val="637"/>
              <w:ind w:left="34"/>
              <w:spacing w:before="0"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3" w:type="dxa"/>
            <w:vAlign w:val="bottom"/>
            <w:textDirection w:val="lrTb"/>
            <w:noWrap w:val="false"/>
          </w:tcPr>
          <w:p>
            <w:pPr>
              <w:pStyle w:val="637"/>
              <w:ind w:left="34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Е.М. Афанасьева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pStyle w:val="637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организационно-правового и кадрового обеспечения МЖКХиЭ НСО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pStyle w:val="637"/>
              <w:ind w:left="34"/>
              <w:spacing w:before="0"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2553" w:type="dxa"/>
            <w:vAlign w:val="bottom"/>
            <w:textDirection w:val="lrTb"/>
            <w:noWrap w:val="false"/>
          </w:tcPr>
          <w:p>
            <w:pPr>
              <w:pStyle w:val="637"/>
              <w:ind w:left="34"/>
              <w:spacing w:before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С.Г. Чикинева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pStyle w:val="637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Консультант (юрист) отдела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637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организационно-правового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637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кадрового обеспечения </w:t>
              <w:br/>
              <w:t xml:space="preserve">МЖКХиЭ НСО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pStyle w:val="637"/>
              <w:ind w:left="34"/>
              <w:spacing w:before="0"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2553" w:type="dxa"/>
            <w:vAlign w:val="bottom"/>
            <w:textDirection w:val="lrTb"/>
            <w:noWrap w:val="false"/>
          </w:tcPr>
          <w:p>
            <w:pPr>
              <w:pStyle w:val="637"/>
              <w:ind w:left="34"/>
              <w:spacing w:before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Н.М. Семенова 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37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37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</w:p>
    <w:p>
      <w:pPr>
        <w:pStyle w:val="637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</w:p>
    <w:p>
      <w:pPr>
        <w:pStyle w:val="637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</w:p>
    <w:p>
      <w:pPr>
        <w:pStyle w:val="637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</w:p>
    <w:p>
      <w:pPr>
        <w:pStyle w:val="637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</w:p>
    <w:p>
      <w:pPr>
        <w:pStyle w:val="637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</w:p>
    <w:p>
      <w:pPr>
        <w:pStyle w:val="637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</w:p>
    <w:p>
      <w:pPr>
        <w:pStyle w:val="637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</w:p>
    <w:p>
      <w:pPr>
        <w:pStyle w:val="637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</w:p>
    <w:p>
      <w:pPr>
        <w:pStyle w:val="637"/>
        <w:numPr>
          <w:ilvl w:val="0"/>
          <w:numId w:val="0"/>
        </w:numPr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  <w:t xml:space="preserve">Список рассылки: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37"/>
        <w:numPr>
          <w:ilvl w:val="0"/>
          <w:numId w:val="0"/>
        </w:numPr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37"/>
        <w:numPr>
          <w:ilvl w:val="0"/>
          <w:numId w:val="0"/>
        </w:numPr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  <w:t xml:space="preserve">1. Управление систем жизнеобеспечения Новосибирской области.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37"/>
        <w:numPr>
          <w:ilvl w:val="0"/>
          <w:numId w:val="0"/>
        </w:numPr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  <w:t xml:space="preserve">2. Web-страница министерства ЖКХиЭ НСО (</w:t>
      </w:r>
      <w:hyperlink r:id="rId12" w:tooltip="http://mjkh.nso.ru/" w:history="1">
        <w:r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 xml:space="preserve">http://mjkh.nso.ru/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).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37"/>
        <w:numPr>
          <w:ilvl w:val="0"/>
          <w:numId w:val="0"/>
        </w:numPr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  <w:t xml:space="preserve">3. Прокуратура Новосибирской области.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37"/>
        <w:numPr>
          <w:ilvl w:val="0"/>
          <w:numId w:val="0"/>
        </w:numPr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  <w:t xml:space="preserve">4. Законодательное собрание Новосибирской области.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37"/>
        <w:numPr>
          <w:ilvl w:val="0"/>
          <w:numId w:val="0"/>
        </w:numPr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  <w:t xml:space="preserve">5. Главное управление Министерства юстиции Российской Федерации по Новосибирской области.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37"/>
        <w:numPr>
          <w:ilvl w:val="0"/>
          <w:numId w:val="0"/>
        </w:numPr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  <w:t xml:space="preserve">6. http://nsopravo.ru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37"/>
        <w:numPr>
          <w:ilvl w:val="0"/>
          <w:numId w:val="0"/>
        </w:numPr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37"/>
        <w:numPr>
          <w:ilvl w:val="0"/>
          <w:numId w:val="0"/>
        </w:numPr>
        <w:jc w:val="both"/>
        <w:spacing w:before="0" w:after="0" w:line="240" w:lineRule="auto"/>
        <w:widowControl w:val="off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  <w:t xml:space="preserve">Уровень доступа: общедоступный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37"/>
        <w:spacing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637"/>
      </w:pPr>
      <w:r/>
      <w:r/>
    </w:p>
    <w:p>
      <w:pPr>
        <w:pStyle w:val="637"/>
        <w:spacing w:before="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37"/>
        <w:spacing w:before="0"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637"/>
        <w:spacing w:before="0"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637"/>
        <w:spacing w:before="0"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637"/>
        <w:spacing w:before="0"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637"/>
        <w:spacing w:before="0"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637"/>
        <w:spacing w:before="0"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И.Е. Сивков</w:t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637"/>
        <w:spacing w:before="0"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238-40-14</w:t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637"/>
        <w:spacing w:before="0" w:after="0" w:line="240" w:lineRule="auto"/>
        <w:rPr>
          <w:rFonts w:ascii="Times New Roman" w:hAnsi="Times New Roman"/>
          <w:sz w:val="20"/>
          <w:szCs w:val="20"/>
          <w:highlight w:val="none"/>
        </w:rPr>
      </w:pPr>
      <w:r/>
      <w:r>
        <w:rPr>
          <w:rFonts w:ascii="Times New Roman" w:hAnsi="Times New Roman"/>
          <w:sz w:val="20"/>
          <w:szCs w:val="20"/>
          <w:highlight w:val="none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766" w:right="568" w:bottom="680" w:left="1417" w:header="709" w:footer="4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Microsoft YaHei">
    <w:panose1 w:val="020B0503020203020204"/>
  </w:font>
  <w:font w:name="Mangal">
    <w:panose1 w:val="0204050305040603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7"/>
      <w:jc w:val="left"/>
      <w:spacing w:before="0" w:beforeAutospacing="0" w:after="200" w:afterAutospacing="0" w:line="276" w:lineRule="auto"/>
      <w:widowControl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37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38">
    <w:name w:val="Heading 1"/>
    <w:basedOn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9">
    <w:name w:val="Heading 2"/>
    <w:basedOn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0">
    <w:name w:val="Heading 3"/>
    <w:basedOn w:val="6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1">
    <w:name w:val="Heading 4"/>
    <w:basedOn w:val="6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6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6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4">
    <w:name w:val="Heading 7"/>
    <w:basedOn w:val="6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5">
    <w:name w:val="Heading 8"/>
    <w:basedOn w:val="6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6">
    <w:name w:val="Heading 9"/>
    <w:basedOn w:val="6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48">
    <w:name w:val="Heading 2 Char"/>
    <w:uiPriority w:val="9"/>
    <w:qFormat/>
    <w:rPr>
      <w:rFonts w:ascii="Arial" w:hAnsi="Arial" w:eastAsia="Arial" w:cs="Arial"/>
      <w:sz w:val="34"/>
    </w:rPr>
  </w:style>
  <w:style w:type="character" w:styleId="64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5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5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5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5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5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5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56">
    <w:name w:val="Title Char"/>
    <w:uiPriority w:val="10"/>
    <w:qFormat/>
    <w:rPr>
      <w:sz w:val="48"/>
      <w:szCs w:val="48"/>
    </w:rPr>
  </w:style>
  <w:style w:type="character" w:styleId="657">
    <w:name w:val="Subtitle Char"/>
    <w:uiPriority w:val="11"/>
    <w:qFormat/>
    <w:rPr>
      <w:sz w:val="24"/>
      <w:szCs w:val="24"/>
    </w:rPr>
  </w:style>
  <w:style w:type="character" w:styleId="658">
    <w:name w:val="Quote Char"/>
    <w:uiPriority w:val="29"/>
    <w:qFormat/>
    <w:rPr>
      <w:i/>
    </w:rPr>
  </w:style>
  <w:style w:type="character" w:styleId="659">
    <w:name w:val="Intense Quote Char"/>
    <w:uiPriority w:val="30"/>
    <w:qFormat/>
    <w:rPr>
      <w:i/>
    </w:rPr>
  </w:style>
  <w:style w:type="character" w:styleId="660">
    <w:name w:val="Header Char"/>
    <w:uiPriority w:val="99"/>
    <w:qFormat/>
  </w:style>
  <w:style w:type="character" w:styleId="661">
    <w:name w:val="Footer Char"/>
    <w:uiPriority w:val="99"/>
    <w:qFormat/>
  </w:style>
  <w:style w:type="character" w:styleId="662">
    <w:name w:val="Caption Char"/>
    <w:uiPriority w:val="99"/>
    <w:qFormat/>
  </w:style>
  <w:style w:type="character" w:styleId="663">
    <w:name w:val="Hyperlink"/>
    <w:uiPriority w:val="99"/>
    <w:unhideWhenUsed/>
    <w:rPr>
      <w:color w:val="0000ff" w:themeColor="hyperlink"/>
      <w:u w:val="single"/>
    </w:rPr>
  </w:style>
  <w:style w:type="character" w:styleId="664">
    <w:name w:val="Footnote Text Char"/>
    <w:uiPriority w:val="99"/>
    <w:qFormat/>
    <w:rPr>
      <w:sz w:val="18"/>
    </w:rPr>
  </w:style>
  <w:style w:type="character" w:styleId="665">
    <w:name w:val="Footnote Characters"/>
    <w:uiPriority w:val="99"/>
    <w:unhideWhenUsed/>
    <w:qFormat/>
    <w:rPr>
      <w:vertAlign w:val="superscript"/>
    </w:rPr>
  </w:style>
  <w:style w:type="character" w:styleId="666">
    <w:name w:val="footnote reference"/>
    <w:rPr>
      <w:vertAlign w:val="superscript"/>
    </w:rPr>
  </w:style>
  <w:style w:type="character" w:styleId="667">
    <w:name w:val="Endnote Text Char"/>
    <w:uiPriority w:val="99"/>
    <w:qFormat/>
    <w:rPr>
      <w:sz w:val="20"/>
    </w:rPr>
  </w:style>
  <w:style w:type="character" w:styleId="668">
    <w:name w:val="Endnote Characters"/>
    <w:uiPriority w:val="99"/>
    <w:semiHidden/>
    <w:unhideWhenUsed/>
    <w:qFormat/>
    <w:rPr>
      <w:vertAlign w:val="superscript"/>
    </w:rPr>
  </w:style>
  <w:style w:type="character" w:styleId="669">
    <w:name w:val="endnote reference"/>
    <w:rPr>
      <w:vertAlign w:val="superscript"/>
    </w:rPr>
  </w:style>
  <w:style w:type="character" w:styleId="670" w:default="1">
    <w:name w:val="Default Paragraph Font"/>
    <w:uiPriority w:val="1"/>
    <w:semiHidden/>
    <w:unhideWhenUsed/>
    <w:qFormat/>
  </w:style>
  <w:style w:type="character" w:styleId="671" w:customStyle="1">
    <w:name w:val="Гиперссылка"/>
    <w:uiPriority w:val="99"/>
    <w:unhideWhenUsed/>
    <w:qFormat/>
    <w:rPr>
      <w:color w:val="0000ff"/>
      <w:u w:val="single"/>
    </w:rPr>
  </w:style>
  <w:style w:type="paragraph" w:styleId="672">
    <w:name w:val="Heading"/>
    <w:basedOn w:val="637"/>
    <w:next w:val="67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73" w:customStyle="1">
    <w:name w:val="Body Text"/>
    <w:uiPriority w:val="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en-US" w:bidi="ar-SA"/>
      <w14:ligatures w14:val="none"/>
    </w:rPr>
  </w:style>
  <w:style w:type="paragraph" w:styleId="674">
    <w:name w:val="List"/>
    <w:basedOn w:val="673"/>
    <w:rPr>
      <w:rFonts w:cs="Mangal"/>
    </w:rPr>
  </w:style>
  <w:style w:type="paragraph" w:styleId="675">
    <w:name w:val="Caption"/>
    <w:basedOn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76">
    <w:name w:val="Index"/>
    <w:basedOn w:val="637"/>
    <w:qFormat/>
    <w:pPr>
      <w:suppressLineNumbers/>
    </w:pPr>
    <w:rPr>
      <w:rFonts w:cs="Mangal"/>
    </w:rPr>
  </w:style>
  <w:style w:type="paragraph" w:styleId="677">
    <w:name w:val="Title"/>
    <w:basedOn w:val="63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78">
    <w:name w:val="Subtitle"/>
    <w:basedOn w:val="637"/>
    <w:uiPriority w:val="11"/>
    <w:qFormat/>
    <w:pPr>
      <w:spacing w:before="200" w:after="200"/>
    </w:pPr>
    <w:rPr>
      <w:sz w:val="24"/>
      <w:szCs w:val="24"/>
    </w:rPr>
  </w:style>
  <w:style w:type="paragraph" w:styleId="679">
    <w:name w:val="Quote"/>
    <w:basedOn w:val="637"/>
    <w:uiPriority w:val="29"/>
    <w:qFormat/>
    <w:pPr>
      <w:ind w:left="720" w:right="720"/>
    </w:pPr>
    <w:rPr>
      <w:i/>
    </w:rPr>
  </w:style>
  <w:style w:type="paragraph" w:styleId="680">
    <w:name w:val="Intense Quote"/>
    <w:basedOn w:val="637"/>
    <w:uiPriority w:val="30"/>
    <w:qFormat/>
    <w:pPr>
      <w:ind w:left="720" w:right="72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81">
    <w:name w:val="Header and Footer"/>
    <w:basedOn w:val="637"/>
    <w:qFormat/>
  </w:style>
  <w:style w:type="paragraph" w:styleId="682">
    <w:name w:val="Header"/>
    <w:basedOn w:val="63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83">
    <w:name w:val="Footer"/>
    <w:basedOn w:val="63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84">
    <w:name w:val="footnote text"/>
    <w:basedOn w:val="63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85">
    <w:name w:val="endnote text"/>
    <w:basedOn w:val="63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86">
    <w:name w:val="toc 1"/>
    <w:basedOn w:val="637"/>
    <w:uiPriority w:val="39"/>
    <w:unhideWhenUsed/>
    <w:pPr>
      <w:ind w:left="0" w:right="0" w:firstLine="0"/>
      <w:spacing w:before="0" w:after="57"/>
    </w:pPr>
  </w:style>
  <w:style w:type="paragraph" w:styleId="687">
    <w:name w:val="toc 2"/>
    <w:basedOn w:val="637"/>
    <w:uiPriority w:val="39"/>
    <w:unhideWhenUsed/>
    <w:pPr>
      <w:ind w:left="283" w:right="0" w:firstLine="0"/>
      <w:spacing w:before="0" w:after="57"/>
    </w:pPr>
  </w:style>
  <w:style w:type="paragraph" w:styleId="688">
    <w:name w:val="toc 3"/>
    <w:basedOn w:val="637"/>
    <w:uiPriority w:val="39"/>
    <w:unhideWhenUsed/>
    <w:pPr>
      <w:ind w:left="567" w:right="0" w:firstLine="0"/>
      <w:spacing w:before="0" w:after="57"/>
    </w:pPr>
  </w:style>
  <w:style w:type="paragraph" w:styleId="689">
    <w:name w:val="toc 4"/>
    <w:basedOn w:val="637"/>
    <w:uiPriority w:val="39"/>
    <w:unhideWhenUsed/>
    <w:pPr>
      <w:ind w:left="850" w:right="0" w:firstLine="0"/>
      <w:spacing w:before="0" w:after="57"/>
    </w:pPr>
  </w:style>
  <w:style w:type="paragraph" w:styleId="690">
    <w:name w:val="toc 5"/>
    <w:basedOn w:val="637"/>
    <w:uiPriority w:val="39"/>
    <w:unhideWhenUsed/>
    <w:pPr>
      <w:ind w:left="1134" w:right="0" w:firstLine="0"/>
      <w:spacing w:before="0" w:after="57"/>
    </w:pPr>
  </w:style>
  <w:style w:type="paragraph" w:styleId="691">
    <w:name w:val="toc 6"/>
    <w:basedOn w:val="637"/>
    <w:uiPriority w:val="39"/>
    <w:unhideWhenUsed/>
    <w:pPr>
      <w:ind w:left="1417" w:right="0" w:firstLine="0"/>
      <w:spacing w:before="0" w:after="57"/>
    </w:pPr>
  </w:style>
  <w:style w:type="paragraph" w:styleId="692">
    <w:name w:val="toc 7"/>
    <w:basedOn w:val="637"/>
    <w:uiPriority w:val="39"/>
    <w:unhideWhenUsed/>
    <w:pPr>
      <w:ind w:left="1701" w:right="0" w:firstLine="0"/>
      <w:spacing w:before="0" w:after="57"/>
    </w:pPr>
  </w:style>
  <w:style w:type="paragraph" w:styleId="693">
    <w:name w:val="toc 8"/>
    <w:basedOn w:val="637"/>
    <w:uiPriority w:val="39"/>
    <w:unhideWhenUsed/>
    <w:pPr>
      <w:ind w:left="1984" w:right="0" w:firstLine="0"/>
      <w:spacing w:before="0" w:after="57"/>
    </w:pPr>
  </w:style>
  <w:style w:type="paragraph" w:styleId="694">
    <w:name w:val="toc 9"/>
    <w:basedOn w:val="637"/>
    <w:uiPriority w:val="39"/>
    <w:unhideWhenUsed/>
    <w:pPr>
      <w:ind w:left="2268" w:right="0" w:firstLine="0"/>
      <w:spacing w:before="0" w:after="57"/>
    </w:pPr>
  </w:style>
  <w:style w:type="paragraph" w:styleId="695">
    <w:name w:val="Index Heading"/>
    <w:basedOn w:val="672"/>
  </w:style>
  <w:style w:type="paragraph" w:styleId="696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97">
    <w:name w:val="table of figures"/>
    <w:basedOn w:val="637"/>
    <w:uiPriority w:val="99"/>
    <w:unhideWhenUsed/>
    <w:pPr>
      <w:spacing w:before="0" w:after="0" w:afterAutospacing="0"/>
    </w:pPr>
  </w:style>
  <w:style w:type="paragraph" w:styleId="698">
    <w:name w:val="No Spacing"/>
    <w:basedOn w:val="637"/>
    <w:uiPriority w:val="1"/>
    <w:qFormat/>
    <w:pPr>
      <w:spacing w:before="0" w:after="0" w:line="240" w:lineRule="auto"/>
    </w:pPr>
  </w:style>
  <w:style w:type="paragraph" w:styleId="699">
    <w:name w:val="List Paragraph"/>
    <w:basedOn w:val="637"/>
    <w:uiPriority w:val="34"/>
    <w:qFormat/>
    <w:pPr>
      <w:contextualSpacing/>
      <w:ind w:left="720"/>
      <w:spacing w:before="0" w:after="200"/>
    </w:pPr>
  </w:style>
  <w:style w:type="paragraph" w:styleId="700" w:customStyle="1">
    <w:name w:val="Table Paragraph"/>
    <w:uiPriority w:val="1"/>
    <w:qFormat/>
    <w:pPr>
      <w:ind w:left="12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ru-RU" w:eastAsia="en-US" w:bidi="ar-SA"/>
      <w14:ligatures w14:val="none"/>
    </w:rPr>
  </w:style>
  <w:style w:type="numbering" w:styleId="701" w:default="1">
    <w:name w:val="No List"/>
    <w:uiPriority w:val="99"/>
    <w:semiHidden/>
    <w:unhideWhenUsed/>
    <w:qFormat/>
  </w:style>
  <w:style w:type="table" w:styleId="12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hyperlink" Target="http://mjkh.ns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21</cp:revision>
  <dcterms:modified xsi:type="dcterms:W3CDTF">2025-10-15T03:16:31Z</dcterms:modified>
</cp:coreProperties>
</file>